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02">
      <w:pPr>
        <w:numPr>
          <w:ilvl w:val="0"/>
          <w:numId w:val="1"/>
        </w:numPr>
        <w:ind w:left="504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Pr>
        <w:drawing>
          <wp:inline distB="114300" distT="114300" distL="114300" distR="114300">
            <wp:extent cx="2704465" cy="74112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04465" cy="74112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Pharmaceutical Industry Innovation </w:t>
      </w:r>
    </w:p>
    <w:p w:rsidR="00000000" w:rsidDel="00000000" w:rsidP="00000000" w:rsidRDefault="00000000" w:rsidRPr="00000000" w14:paraId="00000004">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InnoLead Member Meeting, Jan 19, 2024</w:t>
      </w:r>
    </w:p>
    <w:p w:rsidR="00000000" w:rsidDel="00000000" w:rsidP="00000000" w:rsidRDefault="00000000" w:rsidRPr="00000000" w14:paraId="00000005">
      <w:pPr>
        <w:rPr>
          <w:rFonts w:ascii="Montserrat" w:cs="Montserrat" w:eastAsia="Montserrat" w:hAnsi="Montserrat"/>
          <w:i w:val="1"/>
          <w:sz w:val="20"/>
          <w:szCs w:val="20"/>
        </w:rPr>
      </w:pPr>
      <w:r w:rsidDel="00000000" w:rsidR="00000000" w:rsidRPr="00000000">
        <w:rPr>
          <w:rFonts w:ascii="Montserrat" w:cs="Montserrat" w:eastAsia="Montserrat" w:hAnsi="Montserrat"/>
          <w:i w:val="1"/>
          <w:sz w:val="20"/>
          <w:szCs w:val="20"/>
          <w:rtl w:val="0"/>
        </w:rPr>
        <w:t xml:space="preserve">Live Webcast </w:t>
      </w:r>
      <w:r w:rsidDel="00000000" w:rsidR="00000000" w:rsidRPr="00000000">
        <w:rPr>
          <w:rFonts w:ascii="Montserrat" w:cs="Montserrat" w:eastAsia="Montserrat" w:hAnsi="Montserrat"/>
          <w:i w:val="1"/>
          <w:sz w:val="20"/>
          <w:szCs w:val="20"/>
          <w:rtl w:val="0"/>
        </w:rPr>
        <w:t xml:space="preserve">Notes (Human scribed!)</w:t>
      </w:r>
    </w:p>
    <w:p w:rsidR="00000000" w:rsidDel="00000000" w:rsidP="00000000" w:rsidRDefault="00000000" w:rsidRPr="00000000" w14:paraId="00000006">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7">
      <w:pP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Participants</w:t>
      </w:r>
      <w:r w:rsidDel="00000000" w:rsidR="00000000" w:rsidRPr="00000000">
        <w:rPr>
          <w:rFonts w:ascii="Montserrat" w:cs="Montserrat" w:eastAsia="Montserrat" w:hAnsi="Montserrat"/>
          <w:sz w:val="20"/>
          <w:szCs w:val="20"/>
          <w:rtl w:val="0"/>
        </w:rPr>
        <w:t xml:space="preserve"> — 28 pharmaceutical executives at companies such as Takeda, Astrazeneca, Roche, Biogen, Eli Lilly, and others. A few industry providers (i.e., pharma manufacturer Lonza, and industrial automation firm Rockwell) also participated.</w:t>
      </w:r>
    </w:p>
    <w:p w:rsidR="00000000" w:rsidDel="00000000" w:rsidP="00000000" w:rsidRDefault="00000000" w:rsidRPr="00000000" w14:paraId="00000008">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9">
      <w:pP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Priorities </w:t>
      </w: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sz w:val="20"/>
          <w:szCs w:val="20"/>
          <w:rtl w:val="0"/>
        </w:rPr>
        <w:t xml:space="preserve">A survey was conducted to understand desired outcomes of senior leadership at the participants’ companies:</w:t>
      </w:r>
    </w:p>
    <w:p w:rsidR="00000000" w:rsidDel="00000000" w:rsidP="00000000" w:rsidRDefault="00000000" w:rsidRPr="00000000" w14:paraId="0000000A">
      <w:pPr>
        <w:numPr>
          <w:ilvl w:val="0"/>
          <w:numId w:val="1"/>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Cut costs / efficiency (42%)</w:t>
      </w:r>
    </w:p>
    <w:p w:rsidR="00000000" w:rsidDel="00000000" w:rsidP="00000000" w:rsidRDefault="00000000" w:rsidRPr="00000000" w14:paraId="0000000B">
      <w:pPr>
        <w:numPr>
          <w:ilvl w:val="0"/>
          <w:numId w:val="1"/>
        </w:numPr>
        <w:ind w:left="720" w:hanging="360"/>
        <w:rPr>
          <w:rFonts w:ascii="Montserrat" w:cs="Montserrat" w:eastAsia="Montserrat" w:hAnsi="Montserrat"/>
          <w:sz w:val="20"/>
          <w:szCs w:val="20"/>
          <w:u w:val="none"/>
        </w:rPr>
      </w:pPr>
      <w:r w:rsidDel="00000000" w:rsidR="00000000" w:rsidRPr="00000000">
        <w:rPr>
          <w:rFonts w:ascii="Montserrat" w:cs="Montserrat" w:eastAsia="Montserrat" w:hAnsi="Montserrat"/>
          <w:sz w:val="20"/>
          <w:szCs w:val="20"/>
          <w:rtl w:val="0"/>
        </w:rPr>
        <w:t xml:space="preserve">Generate new revenue (26%)</w:t>
      </w:r>
    </w:p>
    <w:p w:rsidR="00000000" w:rsidDel="00000000" w:rsidP="00000000" w:rsidRDefault="00000000" w:rsidRPr="00000000" w14:paraId="0000000C">
      <w:pPr>
        <w:numPr>
          <w:ilvl w:val="0"/>
          <w:numId w:val="1"/>
        </w:numPr>
        <w:ind w:left="720" w:hanging="360"/>
        <w:rPr>
          <w:rFonts w:ascii="Montserrat" w:cs="Montserrat" w:eastAsia="Montserrat" w:hAnsi="Montserrat"/>
          <w:sz w:val="20"/>
          <w:szCs w:val="20"/>
          <w:u w:val="none"/>
        </w:rPr>
      </w:pPr>
      <w:r w:rsidDel="00000000" w:rsidR="00000000" w:rsidRPr="00000000">
        <w:rPr>
          <w:rFonts w:ascii="Montserrat" w:cs="Montserrat" w:eastAsia="Montserrat" w:hAnsi="Montserrat"/>
          <w:sz w:val="20"/>
          <w:szCs w:val="20"/>
          <w:rtl w:val="0"/>
        </w:rPr>
        <w:t xml:space="preserve">Brand building / market perception (21%)</w:t>
      </w:r>
    </w:p>
    <w:p w:rsidR="00000000" w:rsidDel="00000000" w:rsidP="00000000" w:rsidRDefault="00000000" w:rsidRPr="00000000" w14:paraId="0000000D">
      <w:pPr>
        <w:numPr>
          <w:ilvl w:val="0"/>
          <w:numId w:val="1"/>
        </w:numPr>
        <w:ind w:left="720" w:hanging="360"/>
        <w:rPr>
          <w:rFonts w:ascii="Montserrat" w:cs="Montserrat" w:eastAsia="Montserrat" w:hAnsi="Montserrat"/>
          <w:sz w:val="20"/>
          <w:szCs w:val="20"/>
          <w:u w:val="none"/>
        </w:rPr>
      </w:pPr>
      <w:r w:rsidDel="00000000" w:rsidR="00000000" w:rsidRPr="00000000">
        <w:rPr>
          <w:rFonts w:ascii="Montserrat" w:cs="Montserrat" w:eastAsia="Montserrat" w:hAnsi="Montserrat"/>
          <w:sz w:val="20"/>
          <w:szCs w:val="20"/>
          <w:rtl w:val="0"/>
        </w:rPr>
        <w:t xml:space="preserve">Employee engagement / culture (5%)</w:t>
      </w:r>
    </w:p>
    <w:p w:rsidR="00000000" w:rsidDel="00000000" w:rsidP="00000000" w:rsidRDefault="00000000" w:rsidRPr="00000000" w14:paraId="0000000E">
      <w:pPr>
        <w:numPr>
          <w:ilvl w:val="0"/>
          <w:numId w:val="1"/>
        </w:numPr>
        <w:ind w:left="720" w:hanging="360"/>
        <w:rPr>
          <w:rFonts w:ascii="Montserrat" w:cs="Montserrat" w:eastAsia="Montserrat" w:hAnsi="Montserrat"/>
          <w:sz w:val="20"/>
          <w:szCs w:val="20"/>
          <w:u w:val="none"/>
        </w:rPr>
      </w:pPr>
      <w:r w:rsidDel="00000000" w:rsidR="00000000" w:rsidRPr="00000000">
        <w:rPr>
          <w:rFonts w:ascii="Montserrat" w:cs="Montserrat" w:eastAsia="Montserrat" w:hAnsi="Montserrat"/>
          <w:sz w:val="20"/>
          <w:szCs w:val="20"/>
          <w:rtl w:val="0"/>
        </w:rPr>
        <w:t xml:space="preserve">Other (5%) … some topics added to the list included “patient-centricity”</w:t>
      </w:r>
    </w:p>
    <w:p w:rsidR="00000000" w:rsidDel="00000000" w:rsidP="00000000" w:rsidRDefault="00000000" w:rsidRPr="00000000" w14:paraId="0000000F">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0">
      <w:pP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Perspective</w:t>
      </w:r>
      <w:r w:rsidDel="00000000" w:rsidR="00000000" w:rsidRPr="00000000">
        <w:rPr>
          <w:rFonts w:ascii="Montserrat" w:cs="Montserrat" w:eastAsia="Montserrat" w:hAnsi="Montserrat"/>
          <w:sz w:val="20"/>
          <w:szCs w:val="20"/>
          <w:rtl w:val="0"/>
        </w:rPr>
        <w:t xml:space="preserve"> — Prompted by the insights of Nooma’s Tirrell Payton, three other industry developments or concerns were discussed:</w:t>
      </w:r>
    </w:p>
    <w:p w:rsidR="00000000" w:rsidDel="00000000" w:rsidP="00000000" w:rsidRDefault="00000000" w:rsidRPr="00000000" w14:paraId="00000011">
      <w:pPr>
        <w:numPr>
          <w:ilvl w:val="0"/>
          <w:numId w:val="6"/>
        </w:numPr>
        <w:ind w:left="720" w:hanging="360"/>
        <w:rPr>
          <w:rFonts w:ascii="Montserrat" w:cs="Montserrat" w:eastAsia="Montserrat" w:hAnsi="Montserrat"/>
          <w:sz w:val="20"/>
          <w:szCs w:val="20"/>
          <w:u w:val="none"/>
        </w:rPr>
      </w:pPr>
      <w:r w:rsidDel="00000000" w:rsidR="00000000" w:rsidRPr="00000000">
        <w:rPr>
          <w:rFonts w:ascii="Montserrat" w:cs="Montserrat" w:eastAsia="Montserrat" w:hAnsi="Montserrat"/>
          <w:color w:val="0000ff"/>
          <w:sz w:val="20"/>
          <w:szCs w:val="20"/>
          <w:rtl w:val="0"/>
        </w:rPr>
        <w:t xml:space="preserve">Net New Revenue</w:t>
      </w:r>
      <w:r w:rsidDel="00000000" w:rsidR="00000000" w:rsidRPr="00000000">
        <w:rPr>
          <w:rFonts w:ascii="Montserrat" w:cs="Montserrat" w:eastAsia="Montserrat" w:hAnsi="Montserrat"/>
          <w:sz w:val="20"/>
          <w:szCs w:val="20"/>
          <w:rtl w:val="0"/>
        </w:rPr>
        <w:t xml:space="preserve"> — Payton noted there wasn’t much of a focus on this among his clients</w:t>
      </w:r>
    </w:p>
    <w:p w:rsidR="00000000" w:rsidDel="00000000" w:rsidP="00000000" w:rsidRDefault="00000000" w:rsidRPr="00000000" w14:paraId="00000012">
      <w:pPr>
        <w:numPr>
          <w:ilvl w:val="0"/>
          <w:numId w:val="6"/>
        </w:numPr>
        <w:ind w:left="720" w:hanging="360"/>
        <w:rPr>
          <w:rFonts w:ascii="Montserrat" w:cs="Montserrat" w:eastAsia="Montserrat" w:hAnsi="Montserrat"/>
          <w:sz w:val="20"/>
          <w:szCs w:val="20"/>
          <w:u w:val="none"/>
        </w:rPr>
      </w:pPr>
      <w:r w:rsidDel="00000000" w:rsidR="00000000" w:rsidRPr="00000000">
        <w:rPr>
          <w:rFonts w:ascii="Montserrat" w:cs="Montserrat" w:eastAsia="Montserrat" w:hAnsi="Montserrat"/>
          <w:color w:val="0000ff"/>
          <w:sz w:val="20"/>
          <w:szCs w:val="20"/>
          <w:rtl w:val="0"/>
        </w:rPr>
        <w:t xml:space="preserve">Commercial Pharma Model</w:t>
      </w:r>
      <w:r w:rsidDel="00000000" w:rsidR="00000000" w:rsidRPr="00000000">
        <w:rPr>
          <w:rFonts w:ascii="Montserrat" w:cs="Montserrat" w:eastAsia="Montserrat" w:hAnsi="Montserrat"/>
          <w:sz w:val="20"/>
          <w:szCs w:val="20"/>
          <w:rtl w:val="0"/>
        </w:rPr>
        <w:t xml:space="preserve"> — Concerns about the sustainability of the commercial pharma model, particularly amid a new generation of consumers and providers who are harder to reach, consume media differently, etc</w:t>
      </w:r>
    </w:p>
    <w:p w:rsidR="00000000" w:rsidDel="00000000" w:rsidP="00000000" w:rsidRDefault="00000000" w:rsidRPr="00000000" w14:paraId="00000013">
      <w:pPr>
        <w:numPr>
          <w:ilvl w:val="0"/>
          <w:numId w:val="6"/>
        </w:numPr>
        <w:ind w:left="720" w:hanging="360"/>
        <w:rPr>
          <w:rFonts w:ascii="Montserrat" w:cs="Montserrat" w:eastAsia="Montserrat" w:hAnsi="Montserrat"/>
          <w:sz w:val="20"/>
          <w:szCs w:val="20"/>
          <w:u w:val="none"/>
        </w:rPr>
      </w:pPr>
      <w:r w:rsidDel="00000000" w:rsidR="00000000" w:rsidRPr="00000000">
        <w:rPr>
          <w:rFonts w:ascii="Montserrat" w:cs="Montserrat" w:eastAsia="Montserrat" w:hAnsi="Montserrat"/>
          <w:color w:val="0000ff"/>
          <w:sz w:val="20"/>
          <w:szCs w:val="20"/>
          <w:rtl w:val="0"/>
        </w:rPr>
        <w:t xml:space="preserve">Doing More With Less</w:t>
      </w:r>
      <w:r w:rsidDel="00000000" w:rsidR="00000000" w:rsidRPr="00000000">
        <w:rPr>
          <w:rFonts w:ascii="Montserrat" w:cs="Montserrat" w:eastAsia="Montserrat" w:hAnsi="Montserrat"/>
          <w:sz w:val="20"/>
          <w:szCs w:val="20"/>
          <w:rtl w:val="0"/>
        </w:rPr>
        <w:t xml:space="preserve"> —  Concerns about productivity demands amid flat headcount</w:t>
      </w:r>
    </w:p>
    <w:p w:rsidR="00000000" w:rsidDel="00000000" w:rsidP="00000000" w:rsidRDefault="00000000" w:rsidRPr="00000000" w14:paraId="00000014">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5">
      <w:pP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Adoption Challenges </w:t>
      </w:r>
      <w:r w:rsidDel="00000000" w:rsidR="00000000" w:rsidRPr="00000000">
        <w:rPr>
          <w:rFonts w:ascii="Montserrat" w:cs="Montserrat" w:eastAsia="Montserrat" w:hAnsi="Montserrat"/>
          <w:sz w:val="20"/>
          <w:szCs w:val="20"/>
          <w:rtl w:val="0"/>
        </w:rPr>
        <w:t xml:space="preserve">— The group discussed adoption of new technologies such as GenAI</w:t>
      </w:r>
    </w:p>
    <w:p w:rsidR="00000000" w:rsidDel="00000000" w:rsidP="00000000" w:rsidRDefault="00000000" w:rsidRPr="00000000" w14:paraId="00000016">
      <w:pPr>
        <w:numPr>
          <w:ilvl w:val="0"/>
          <w:numId w:val="5"/>
        </w:numPr>
        <w:ind w:left="720" w:hanging="360"/>
        <w:rPr>
          <w:rFonts w:ascii="Montserrat" w:cs="Montserrat" w:eastAsia="Montserrat" w:hAnsi="Montserrat"/>
          <w:sz w:val="20"/>
          <w:szCs w:val="20"/>
          <w:u w:val="none"/>
        </w:rPr>
      </w:pPr>
      <w:r w:rsidDel="00000000" w:rsidR="00000000" w:rsidRPr="00000000">
        <w:rPr>
          <w:rFonts w:ascii="Montserrat" w:cs="Montserrat" w:eastAsia="Montserrat" w:hAnsi="Montserrat"/>
          <w:sz w:val="20"/>
          <w:szCs w:val="20"/>
          <w:rtl w:val="0"/>
        </w:rPr>
        <w:t xml:space="preserve">The importance of having use cases</w:t>
      </w:r>
    </w:p>
    <w:p w:rsidR="00000000" w:rsidDel="00000000" w:rsidP="00000000" w:rsidRDefault="00000000" w:rsidRPr="00000000" w14:paraId="00000017">
      <w:pPr>
        <w:numPr>
          <w:ilvl w:val="0"/>
          <w:numId w:val="5"/>
        </w:numPr>
        <w:ind w:left="720" w:hanging="360"/>
        <w:rPr>
          <w:rFonts w:ascii="Montserrat" w:cs="Montserrat" w:eastAsia="Montserrat" w:hAnsi="Montserrat"/>
          <w:sz w:val="20"/>
          <w:szCs w:val="20"/>
          <w:u w:val="none"/>
        </w:rPr>
      </w:pPr>
      <w:r w:rsidDel="00000000" w:rsidR="00000000" w:rsidRPr="00000000">
        <w:rPr>
          <w:rFonts w:ascii="Montserrat" w:cs="Montserrat" w:eastAsia="Montserrat" w:hAnsi="Montserrat"/>
          <w:sz w:val="20"/>
          <w:szCs w:val="20"/>
          <w:rtl w:val="0"/>
        </w:rPr>
        <w:t xml:space="preserve">The importance of “eating your own dog food” and testing things internally first</w:t>
      </w:r>
    </w:p>
    <w:p w:rsidR="00000000" w:rsidDel="00000000" w:rsidP="00000000" w:rsidRDefault="00000000" w:rsidRPr="00000000" w14:paraId="00000018">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9">
      <w:pP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Pharma Shifts</w:t>
      </w:r>
      <w:r w:rsidDel="00000000" w:rsidR="00000000" w:rsidRPr="00000000">
        <w:rPr>
          <w:rFonts w:ascii="Montserrat" w:cs="Montserrat" w:eastAsia="Montserrat" w:hAnsi="Montserrat"/>
          <w:sz w:val="20"/>
          <w:szCs w:val="20"/>
          <w:rtl w:val="0"/>
        </w:rPr>
        <w:t xml:space="preserve"> — Based on adoption challenges discussed, Payton provided a fictional use case that highlighted common resistance to new ideas, which are typically perceived to:</w:t>
      </w:r>
    </w:p>
    <w:p w:rsidR="00000000" w:rsidDel="00000000" w:rsidP="00000000" w:rsidRDefault="00000000" w:rsidRPr="00000000" w14:paraId="0000001A">
      <w:pPr>
        <w:numPr>
          <w:ilvl w:val="0"/>
          <w:numId w:val="4"/>
        </w:numPr>
        <w:ind w:left="720" w:hanging="360"/>
        <w:rPr>
          <w:rFonts w:ascii="Montserrat" w:cs="Montserrat" w:eastAsia="Montserrat" w:hAnsi="Montserrat"/>
          <w:sz w:val="20"/>
          <w:szCs w:val="20"/>
          <w:u w:val="none"/>
        </w:rPr>
      </w:pPr>
      <w:r w:rsidDel="00000000" w:rsidR="00000000" w:rsidRPr="00000000">
        <w:rPr>
          <w:rFonts w:ascii="Montserrat" w:cs="Montserrat" w:eastAsia="Montserrat" w:hAnsi="Montserrat"/>
          <w:sz w:val="20"/>
          <w:szCs w:val="20"/>
          <w:rtl w:val="0"/>
        </w:rPr>
        <w:t xml:space="preserve">Add risk (or perceived risk) to the enterprise</w:t>
      </w:r>
    </w:p>
    <w:p w:rsidR="00000000" w:rsidDel="00000000" w:rsidP="00000000" w:rsidRDefault="00000000" w:rsidRPr="00000000" w14:paraId="0000001B">
      <w:pPr>
        <w:numPr>
          <w:ilvl w:val="0"/>
          <w:numId w:val="4"/>
        </w:numPr>
        <w:ind w:left="720" w:hanging="360"/>
        <w:rPr>
          <w:rFonts w:ascii="Montserrat" w:cs="Montserrat" w:eastAsia="Montserrat" w:hAnsi="Montserrat"/>
          <w:sz w:val="20"/>
          <w:szCs w:val="20"/>
          <w:u w:val="none"/>
        </w:rPr>
      </w:pPr>
      <w:r w:rsidDel="00000000" w:rsidR="00000000" w:rsidRPr="00000000">
        <w:rPr>
          <w:rFonts w:ascii="Montserrat" w:cs="Montserrat" w:eastAsia="Montserrat" w:hAnsi="Montserrat"/>
          <w:sz w:val="20"/>
          <w:szCs w:val="20"/>
          <w:rtl w:val="0"/>
        </w:rPr>
        <w:t xml:space="preserve">Add work to employees</w:t>
      </w:r>
    </w:p>
    <w:p w:rsidR="00000000" w:rsidDel="00000000" w:rsidP="00000000" w:rsidRDefault="00000000" w:rsidRPr="00000000" w14:paraId="0000001C">
      <w:pPr>
        <w:numPr>
          <w:ilvl w:val="0"/>
          <w:numId w:val="4"/>
        </w:numPr>
        <w:ind w:left="720" w:hanging="360"/>
        <w:rPr>
          <w:rFonts w:ascii="Montserrat" w:cs="Montserrat" w:eastAsia="Montserrat" w:hAnsi="Montserrat"/>
          <w:sz w:val="20"/>
          <w:szCs w:val="20"/>
          <w:u w:val="none"/>
        </w:rPr>
      </w:pPr>
      <w:r w:rsidDel="00000000" w:rsidR="00000000" w:rsidRPr="00000000">
        <w:rPr>
          <w:rFonts w:ascii="Montserrat" w:cs="Montserrat" w:eastAsia="Montserrat" w:hAnsi="Montserrat"/>
          <w:sz w:val="20"/>
          <w:szCs w:val="20"/>
          <w:rtl w:val="0"/>
        </w:rPr>
        <w:t xml:space="preserve">Add cost (not revenue)</w:t>
      </w:r>
    </w:p>
    <w:p w:rsidR="00000000" w:rsidDel="00000000" w:rsidP="00000000" w:rsidRDefault="00000000" w:rsidRPr="00000000" w14:paraId="0000001D">
      <w:pPr>
        <w:numPr>
          <w:ilvl w:val="0"/>
          <w:numId w:val="4"/>
        </w:numPr>
        <w:ind w:left="720" w:hanging="360"/>
        <w:rPr>
          <w:rFonts w:ascii="Montserrat" w:cs="Montserrat" w:eastAsia="Montserrat" w:hAnsi="Montserrat"/>
          <w:sz w:val="20"/>
          <w:szCs w:val="20"/>
          <w:u w:val="none"/>
        </w:rPr>
      </w:pPr>
      <w:r w:rsidDel="00000000" w:rsidR="00000000" w:rsidRPr="00000000">
        <w:rPr>
          <w:rFonts w:ascii="Montserrat" w:cs="Montserrat" w:eastAsia="Montserrat" w:hAnsi="Montserrat"/>
          <w:sz w:val="20"/>
          <w:szCs w:val="20"/>
          <w:rtl w:val="0"/>
        </w:rPr>
        <w:t xml:space="preserve">Are not aligned with key priorities</w:t>
      </w:r>
    </w:p>
    <w:p w:rsidR="00000000" w:rsidDel="00000000" w:rsidP="00000000" w:rsidRDefault="00000000" w:rsidRPr="00000000" w14:paraId="0000001E">
      <w:pPr>
        <w:numPr>
          <w:ilvl w:val="0"/>
          <w:numId w:val="4"/>
        </w:numPr>
        <w:ind w:left="720" w:hanging="360"/>
        <w:rPr>
          <w:rFonts w:ascii="Montserrat" w:cs="Montserrat" w:eastAsia="Montserrat" w:hAnsi="Montserrat"/>
          <w:sz w:val="20"/>
          <w:szCs w:val="20"/>
          <w:u w:val="none"/>
        </w:rPr>
      </w:pPr>
      <w:r w:rsidDel="00000000" w:rsidR="00000000" w:rsidRPr="00000000">
        <w:rPr>
          <w:rFonts w:ascii="Montserrat" w:cs="Montserrat" w:eastAsia="Montserrat" w:hAnsi="Montserrat"/>
          <w:sz w:val="20"/>
          <w:szCs w:val="20"/>
          <w:rtl w:val="0"/>
        </w:rPr>
        <w:t xml:space="preserve">Are not aligned with company culture</w:t>
      </w:r>
    </w:p>
    <w:p w:rsidR="00000000" w:rsidDel="00000000" w:rsidP="00000000" w:rsidRDefault="00000000" w:rsidRPr="00000000" w14:paraId="0000001F">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0">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To overcome resistance, Payton recommended five “shifts” for communicating innovations:</w:t>
      </w:r>
    </w:p>
    <w:p w:rsidR="00000000" w:rsidDel="00000000" w:rsidP="00000000" w:rsidRDefault="00000000" w:rsidRPr="00000000" w14:paraId="00000021">
      <w:pPr>
        <w:rPr>
          <w:rFonts w:ascii="Montserrat" w:cs="Montserrat" w:eastAsia="Montserrat" w:hAnsi="Montserrat"/>
          <w:sz w:val="20"/>
          <w:szCs w:val="20"/>
        </w:rPr>
      </w:pPr>
      <w:r w:rsidDel="00000000" w:rsidR="00000000" w:rsidRPr="00000000">
        <w:rPr>
          <w:rtl w:val="0"/>
        </w:rPr>
      </w:r>
    </w:p>
    <w:tbl>
      <w:tblPr>
        <w:tblStyle w:val="Table1"/>
        <w:tblW w:w="9360.0" w:type="dxa"/>
        <w:jc w:val="left"/>
        <w:tblBorders>
          <w:top w:color="cccccc" w:space="0" w:sz="4" w:val="single"/>
          <w:left w:color="cccccc" w:space="0" w:sz="4" w:val="single"/>
          <w:bottom w:color="cccccc" w:space="0" w:sz="4" w:val="single"/>
          <w:right w:color="cccccc" w:space="0" w:sz="4" w:val="single"/>
          <w:insideH w:color="cccccc" w:space="0" w:sz="4" w:val="single"/>
          <w:insideV w:color="cccccc" w:space="0" w:sz="4" w:val="single"/>
        </w:tblBorders>
        <w:tblLayout w:type="fixed"/>
        <w:tblLook w:val="0600"/>
      </w:tblPr>
      <w:tblGrid>
        <w:gridCol w:w="2760"/>
        <w:gridCol w:w="2790"/>
        <w:gridCol w:w="3810"/>
        <w:tblGridChange w:id="0">
          <w:tblGrid>
            <w:gridCol w:w="2760"/>
            <w:gridCol w:w="2790"/>
            <w:gridCol w:w="3810"/>
          </w:tblGrid>
        </w:tblGridChange>
      </w:tblGrid>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MOVE FROM…</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TO…</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EXPLANATION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Novelty Over Value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Value-Focused Innovation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1"/>
                <w:sz w:val="18"/>
                <w:szCs w:val="18"/>
              </w:rPr>
            </w:pPr>
            <w:r w:rsidDel="00000000" w:rsidR="00000000" w:rsidRPr="00000000">
              <w:rPr>
                <w:rFonts w:ascii="Montserrat" w:cs="Montserrat" w:eastAsia="Montserrat" w:hAnsi="Montserrat"/>
                <w:i w:val="1"/>
                <w:sz w:val="18"/>
                <w:szCs w:val="18"/>
                <w:rtl w:val="0"/>
              </w:rPr>
              <w:t xml:space="preserve">Showcase solving specific problems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Big-Bang Disruption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Gradual Integration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1"/>
                <w:sz w:val="18"/>
                <w:szCs w:val="18"/>
              </w:rPr>
            </w:pPr>
            <w:r w:rsidDel="00000000" w:rsidR="00000000" w:rsidRPr="00000000">
              <w:rPr>
                <w:rFonts w:ascii="Montserrat" w:cs="Montserrat" w:eastAsia="Montserrat" w:hAnsi="Montserrat"/>
                <w:i w:val="1"/>
                <w:sz w:val="18"/>
                <w:szCs w:val="18"/>
                <w:rtl w:val="0"/>
              </w:rPr>
              <w:t xml:space="preserve">Start small, incremental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Strategy Without Execution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Collaborative Execution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1"/>
                <w:sz w:val="18"/>
                <w:szCs w:val="18"/>
              </w:rPr>
            </w:pPr>
            <w:r w:rsidDel="00000000" w:rsidR="00000000" w:rsidRPr="00000000">
              <w:rPr>
                <w:rFonts w:ascii="Montserrat" w:cs="Montserrat" w:eastAsia="Montserrat" w:hAnsi="Montserrat"/>
                <w:i w:val="1"/>
                <w:sz w:val="18"/>
                <w:szCs w:val="18"/>
                <w:rtl w:val="0"/>
              </w:rPr>
              <w:t xml:space="preserve">Emphasize partnership, co-creation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Detail Overwhelm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Visionary Storytelling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1"/>
                <w:sz w:val="18"/>
                <w:szCs w:val="18"/>
              </w:rPr>
            </w:pPr>
            <w:r w:rsidDel="00000000" w:rsidR="00000000" w:rsidRPr="00000000">
              <w:rPr>
                <w:rFonts w:ascii="Montserrat" w:cs="Montserrat" w:eastAsia="Montserrat" w:hAnsi="Montserrat"/>
                <w:i w:val="1"/>
                <w:sz w:val="18"/>
                <w:szCs w:val="18"/>
                <w:rtl w:val="0"/>
              </w:rPr>
              <w:t xml:space="preserve">Need overarching narrative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Culture Deaf</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Culturally Aligned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1"/>
                <w:sz w:val="18"/>
                <w:szCs w:val="18"/>
              </w:rPr>
            </w:pPr>
            <w:r w:rsidDel="00000000" w:rsidR="00000000" w:rsidRPr="00000000">
              <w:rPr>
                <w:rFonts w:ascii="Montserrat" w:cs="Montserrat" w:eastAsia="Montserrat" w:hAnsi="Montserrat"/>
                <w:i w:val="1"/>
                <w:sz w:val="18"/>
                <w:szCs w:val="18"/>
                <w:rtl w:val="0"/>
              </w:rPr>
              <w:t xml:space="preserve">Connect to core values, initiatives</w:t>
            </w:r>
          </w:p>
        </w:tc>
      </w:tr>
    </w:tbl>
    <w:p w:rsidR="00000000" w:rsidDel="00000000" w:rsidP="00000000" w:rsidRDefault="00000000" w:rsidRPr="00000000" w14:paraId="00000034">
      <w:pPr>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35">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Discussion</w:t>
      </w:r>
    </w:p>
    <w:p w:rsidR="00000000" w:rsidDel="00000000" w:rsidP="00000000" w:rsidRDefault="00000000" w:rsidRPr="00000000" w14:paraId="00000036">
      <w:pPr>
        <w:numPr>
          <w:ilvl w:val="0"/>
          <w:numId w:val="2"/>
        </w:numPr>
        <w:ind w:left="720" w:hanging="360"/>
        <w:rPr>
          <w:rFonts w:ascii="Montserrat" w:cs="Montserrat" w:eastAsia="Montserrat" w:hAnsi="Montserrat"/>
          <w:sz w:val="20"/>
          <w:szCs w:val="20"/>
          <w:u w:val="none"/>
        </w:rPr>
      </w:pPr>
      <w:r w:rsidDel="00000000" w:rsidR="00000000" w:rsidRPr="00000000">
        <w:rPr>
          <w:rFonts w:ascii="Montserrat" w:cs="Montserrat" w:eastAsia="Montserrat" w:hAnsi="Montserrat"/>
          <w:color w:val="0000ff"/>
          <w:sz w:val="20"/>
          <w:szCs w:val="20"/>
          <w:rtl w:val="0"/>
        </w:rPr>
        <w:t xml:space="preserve">GenAI</w:t>
      </w:r>
      <w:r w:rsidDel="00000000" w:rsidR="00000000" w:rsidRPr="00000000">
        <w:rPr>
          <w:rFonts w:ascii="Montserrat" w:cs="Montserrat" w:eastAsia="Montserrat" w:hAnsi="Montserrat"/>
          <w:sz w:val="20"/>
          <w:szCs w:val="20"/>
          <w:rtl w:val="0"/>
        </w:rPr>
        <w:t xml:space="preserve"> — A few people discussed how Payton’s bullets above related to AI and culture, and how there may be a disconnect on specific technologies and strategic vision. Payton noted that the narrative or storyline is around “freeing people up for more strategic work” vs. “eliminating headcount.” Others noted that lack of clear definitions (i.e., machine learning vs. generative AI) creates obstacles to adoption and clear KPIs. Some specific examples of GenAI “early adopters” were discussed — most related to speeding up internal processes (i.e., research, etc.). One participant mentioned that his company is using Jira requests to prioritize and move forward with Gen AI projects, and is even working on a customer-facing project. </w:t>
      </w:r>
    </w:p>
    <w:p w:rsidR="00000000" w:rsidDel="00000000" w:rsidP="00000000" w:rsidRDefault="00000000" w:rsidRPr="00000000" w14:paraId="00000037">
      <w:pPr>
        <w:numPr>
          <w:ilvl w:val="0"/>
          <w:numId w:val="2"/>
        </w:numPr>
        <w:ind w:left="720" w:hanging="360"/>
        <w:rPr>
          <w:rFonts w:ascii="Montserrat" w:cs="Montserrat" w:eastAsia="Montserrat" w:hAnsi="Montserrat"/>
          <w:sz w:val="20"/>
          <w:szCs w:val="20"/>
          <w:u w:val="none"/>
        </w:rPr>
      </w:pPr>
      <w:r w:rsidDel="00000000" w:rsidR="00000000" w:rsidRPr="00000000">
        <w:rPr>
          <w:rFonts w:ascii="Montserrat" w:cs="Montserrat" w:eastAsia="Montserrat" w:hAnsi="Montserrat"/>
          <w:color w:val="0000ff"/>
          <w:sz w:val="20"/>
          <w:szCs w:val="20"/>
          <w:rtl w:val="0"/>
        </w:rPr>
        <w:t xml:space="preserve">Risks</w:t>
      </w:r>
      <w:r w:rsidDel="00000000" w:rsidR="00000000" w:rsidRPr="00000000">
        <w:rPr>
          <w:rFonts w:ascii="Montserrat" w:cs="Montserrat" w:eastAsia="Montserrat" w:hAnsi="Montserrat"/>
          <w:sz w:val="20"/>
          <w:szCs w:val="20"/>
          <w:rtl w:val="0"/>
        </w:rPr>
        <w:t xml:space="preserve"> — Lots of conversation and agreement around adoption risk that executives feel, as they don’t want to screw up “my” clinical trial, which may be several years and millions of dollars in the works (not to mention regulatory requirements around changes or technology implementation).</w:t>
      </w:r>
      <w:r w:rsidDel="00000000" w:rsidR="00000000" w:rsidRPr="00000000">
        <w:rPr>
          <w:rtl w:val="0"/>
        </w:rPr>
      </w:r>
    </w:p>
    <w:p w:rsidR="00000000" w:rsidDel="00000000" w:rsidP="00000000" w:rsidRDefault="00000000" w:rsidRPr="00000000" w14:paraId="00000038">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39">
      <w:pP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Domains of Innovation</w:t>
      </w:r>
      <w:r w:rsidDel="00000000" w:rsidR="00000000" w:rsidRPr="00000000">
        <w:rPr>
          <w:rFonts w:ascii="Montserrat" w:cs="Montserrat" w:eastAsia="Montserrat" w:hAnsi="Montserrat"/>
          <w:sz w:val="20"/>
          <w:szCs w:val="20"/>
          <w:rtl w:val="0"/>
        </w:rPr>
        <w:t xml:space="preserve"> — A second survey was conducted to understand the specific domains that are high on the priority list of participants.</w:t>
      </w:r>
    </w:p>
    <w:p w:rsidR="00000000" w:rsidDel="00000000" w:rsidP="00000000" w:rsidRDefault="00000000" w:rsidRPr="00000000" w14:paraId="0000003A">
      <w:pPr>
        <w:numPr>
          <w:ilvl w:val="0"/>
          <w:numId w:val="3"/>
        </w:numPr>
        <w:ind w:left="720" w:hanging="360"/>
        <w:rPr>
          <w:rFonts w:ascii="Montserrat" w:cs="Montserrat" w:eastAsia="Montserrat" w:hAnsi="Montserrat"/>
          <w:sz w:val="20"/>
          <w:szCs w:val="20"/>
          <w:u w:val="none"/>
        </w:rPr>
      </w:pPr>
      <w:r w:rsidDel="00000000" w:rsidR="00000000" w:rsidRPr="00000000">
        <w:rPr>
          <w:rFonts w:ascii="Montserrat" w:cs="Montserrat" w:eastAsia="Montserrat" w:hAnsi="Montserrat"/>
          <w:sz w:val="20"/>
          <w:szCs w:val="20"/>
          <w:rtl w:val="0"/>
        </w:rPr>
        <w:t xml:space="preserve">Exploring AI or Other Technologies (74%)</w:t>
      </w:r>
    </w:p>
    <w:p w:rsidR="00000000" w:rsidDel="00000000" w:rsidP="00000000" w:rsidRDefault="00000000" w:rsidRPr="00000000" w14:paraId="0000003B">
      <w:pPr>
        <w:numPr>
          <w:ilvl w:val="0"/>
          <w:numId w:val="3"/>
        </w:numPr>
        <w:ind w:left="720" w:hanging="360"/>
        <w:rPr>
          <w:rFonts w:ascii="Montserrat" w:cs="Montserrat" w:eastAsia="Montserrat" w:hAnsi="Montserrat"/>
          <w:sz w:val="20"/>
          <w:szCs w:val="20"/>
          <w:u w:val="none"/>
        </w:rPr>
      </w:pPr>
      <w:r w:rsidDel="00000000" w:rsidR="00000000" w:rsidRPr="00000000">
        <w:rPr>
          <w:rFonts w:ascii="Montserrat" w:cs="Montserrat" w:eastAsia="Montserrat" w:hAnsi="Montserrat"/>
          <w:sz w:val="20"/>
          <w:szCs w:val="20"/>
          <w:rtl w:val="0"/>
        </w:rPr>
        <w:t xml:space="preserve">Scouting / Partnering with Startups (58%)</w:t>
      </w:r>
    </w:p>
    <w:p w:rsidR="00000000" w:rsidDel="00000000" w:rsidP="00000000" w:rsidRDefault="00000000" w:rsidRPr="00000000" w14:paraId="0000003C">
      <w:pPr>
        <w:numPr>
          <w:ilvl w:val="0"/>
          <w:numId w:val="3"/>
        </w:numPr>
        <w:ind w:left="720" w:hanging="360"/>
        <w:rPr>
          <w:rFonts w:ascii="Montserrat" w:cs="Montserrat" w:eastAsia="Montserrat" w:hAnsi="Montserrat"/>
          <w:sz w:val="20"/>
          <w:szCs w:val="20"/>
          <w:u w:val="none"/>
        </w:rPr>
      </w:pPr>
      <w:r w:rsidDel="00000000" w:rsidR="00000000" w:rsidRPr="00000000">
        <w:rPr>
          <w:rFonts w:ascii="Montserrat" w:cs="Montserrat" w:eastAsia="Montserrat" w:hAnsi="Montserrat"/>
          <w:sz w:val="20"/>
          <w:szCs w:val="20"/>
          <w:rtl w:val="0"/>
        </w:rPr>
        <w:t xml:space="preserve">Business Model Innovation (58%)</w:t>
      </w:r>
    </w:p>
    <w:p w:rsidR="00000000" w:rsidDel="00000000" w:rsidP="00000000" w:rsidRDefault="00000000" w:rsidRPr="00000000" w14:paraId="0000003D">
      <w:pPr>
        <w:numPr>
          <w:ilvl w:val="0"/>
          <w:numId w:val="3"/>
        </w:numPr>
        <w:ind w:left="720" w:hanging="360"/>
        <w:rPr>
          <w:rFonts w:ascii="Montserrat" w:cs="Montserrat" w:eastAsia="Montserrat" w:hAnsi="Montserrat"/>
          <w:sz w:val="20"/>
          <w:szCs w:val="20"/>
          <w:u w:val="none"/>
        </w:rPr>
      </w:pPr>
      <w:r w:rsidDel="00000000" w:rsidR="00000000" w:rsidRPr="00000000">
        <w:rPr>
          <w:rFonts w:ascii="Montserrat" w:cs="Montserrat" w:eastAsia="Montserrat" w:hAnsi="Montserrat"/>
          <w:sz w:val="20"/>
          <w:szCs w:val="20"/>
          <w:rtl w:val="0"/>
        </w:rPr>
        <w:t xml:space="preserve">Digital Transformation (58%)</w:t>
      </w:r>
    </w:p>
    <w:p w:rsidR="00000000" w:rsidDel="00000000" w:rsidP="00000000" w:rsidRDefault="00000000" w:rsidRPr="00000000" w14:paraId="0000003E">
      <w:pPr>
        <w:numPr>
          <w:ilvl w:val="0"/>
          <w:numId w:val="3"/>
        </w:numPr>
        <w:ind w:left="720" w:hanging="360"/>
        <w:rPr>
          <w:rFonts w:ascii="Montserrat" w:cs="Montserrat" w:eastAsia="Montserrat" w:hAnsi="Montserrat"/>
          <w:sz w:val="20"/>
          <w:szCs w:val="20"/>
          <w:u w:val="none"/>
        </w:rPr>
      </w:pPr>
      <w:r w:rsidDel="00000000" w:rsidR="00000000" w:rsidRPr="00000000">
        <w:rPr>
          <w:rFonts w:ascii="Montserrat" w:cs="Montserrat" w:eastAsia="Montserrat" w:hAnsi="Montserrat"/>
          <w:sz w:val="20"/>
          <w:szCs w:val="20"/>
          <w:rtl w:val="0"/>
        </w:rPr>
        <w:t xml:space="preserve">Culture Change / Capability Building (47%)</w:t>
      </w:r>
    </w:p>
    <w:p w:rsidR="00000000" w:rsidDel="00000000" w:rsidP="00000000" w:rsidRDefault="00000000" w:rsidRPr="00000000" w14:paraId="0000003F">
      <w:pPr>
        <w:numPr>
          <w:ilvl w:val="0"/>
          <w:numId w:val="3"/>
        </w:numPr>
        <w:ind w:left="720" w:hanging="360"/>
        <w:rPr>
          <w:rFonts w:ascii="Montserrat" w:cs="Montserrat" w:eastAsia="Montserrat" w:hAnsi="Montserrat"/>
          <w:sz w:val="20"/>
          <w:szCs w:val="20"/>
          <w:u w:val="none"/>
        </w:rPr>
      </w:pPr>
      <w:r w:rsidDel="00000000" w:rsidR="00000000" w:rsidRPr="00000000">
        <w:rPr>
          <w:rFonts w:ascii="Montserrat" w:cs="Montserrat" w:eastAsia="Montserrat" w:hAnsi="Montserrat"/>
          <w:sz w:val="20"/>
          <w:szCs w:val="20"/>
          <w:rtl w:val="0"/>
        </w:rPr>
        <w:t xml:space="preserve">Making R&amp;D More Productive (42%)</w:t>
      </w:r>
    </w:p>
    <w:p w:rsidR="00000000" w:rsidDel="00000000" w:rsidP="00000000" w:rsidRDefault="00000000" w:rsidRPr="00000000" w14:paraId="00000040">
      <w:pPr>
        <w:numPr>
          <w:ilvl w:val="0"/>
          <w:numId w:val="3"/>
        </w:numPr>
        <w:ind w:left="720" w:hanging="360"/>
        <w:rPr>
          <w:rFonts w:ascii="Montserrat" w:cs="Montserrat" w:eastAsia="Montserrat" w:hAnsi="Montserrat"/>
          <w:sz w:val="20"/>
          <w:szCs w:val="20"/>
          <w:u w:val="none"/>
        </w:rPr>
      </w:pPr>
      <w:r w:rsidDel="00000000" w:rsidR="00000000" w:rsidRPr="00000000">
        <w:rPr>
          <w:rFonts w:ascii="Montserrat" w:cs="Montserrat" w:eastAsia="Montserrat" w:hAnsi="Montserrat"/>
          <w:sz w:val="20"/>
          <w:szCs w:val="20"/>
          <w:rtl w:val="0"/>
        </w:rPr>
        <w:t xml:space="preserve">Digital Interface with Patients / Apps (42%)</w:t>
      </w:r>
    </w:p>
    <w:p w:rsidR="00000000" w:rsidDel="00000000" w:rsidP="00000000" w:rsidRDefault="00000000" w:rsidRPr="00000000" w14:paraId="00000041">
      <w:pPr>
        <w:numPr>
          <w:ilvl w:val="0"/>
          <w:numId w:val="3"/>
        </w:numPr>
        <w:ind w:left="720" w:hanging="360"/>
        <w:rPr>
          <w:rFonts w:ascii="Montserrat" w:cs="Montserrat" w:eastAsia="Montserrat" w:hAnsi="Montserrat"/>
          <w:sz w:val="20"/>
          <w:szCs w:val="20"/>
          <w:u w:val="none"/>
        </w:rPr>
      </w:pPr>
      <w:r w:rsidDel="00000000" w:rsidR="00000000" w:rsidRPr="00000000">
        <w:rPr>
          <w:rFonts w:ascii="Montserrat" w:cs="Montserrat" w:eastAsia="Montserrat" w:hAnsi="Montserrat"/>
          <w:sz w:val="20"/>
          <w:szCs w:val="20"/>
          <w:rtl w:val="0"/>
        </w:rPr>
        <w:t xml:space="preserve">Clinical Trials (26%)</w:t>
      </w:r>
    </w:p>
    <w:p w:rsidR="00000000" w:rsidDel="00000000" w:rsidP="00000000" w:rsidRDefault="00000000" w:rsidRPr="00000000" w14:paraId="00000042">
      <w:pPr>
        <w:numPr>
          <w:ilvl w:val="0"/>
          <w:numId w:val="3"/>
        </w:numPr>
        <w:ind w:left="720" w:hanging="360"/>
        <w:rPr>
          <w:rFonts w:ascii="Montserrat" w:cs="Montserrat" w:eastAsia="Montserrat" w:hAnsi="Montserrat"/>
          <w:sz w:val="20"/>
          <w:szCs w:val="20"/>
          <w:u w:val="none"/>
        </w:rPr>
      </w:pPr>
      <w:r w:rsidDel="00000000" w:rsidR="00000000" w:rsidRPr="00000000">
        <w:rPr>
          <w:rFonts w:ascii="Montserrat" w:cs="Montserrat" w:eastAsia="Montserrat" w:hAnsi="Montserrat"/>
          <w:sz w:val="20"/>
          <w:szCs w:val="20"/>
          <w:rtl w:val="0"/>
        </w:rPr>
        <w:t xml:space="preserve">Manufacturing (11%)</w:t>
      </w:r>
    </w:p>
    <w:p w:rsidR="00000000" w:rsidDel="00000000" w:rsidP="00000000" w:rsidRDefault="00000000" w:rsidRPr="00000000" w14:paraId="00000043">
      <w:pPr>
        <w:numPr>
          <w:ilvl w:val="0"/>
          <w:numId w:val="3"/>
        </w:numPr>
        <w:ind w:left="720" w:hanging="360"/>
        <w:rPr>
          <w:rFonts w:ascii="Montserrat" w:cs="Montserrat" w:eastAsia="Montserrat" w:hAnsi="Montserrat"/>
          <w:sz w:val="20"/>
          <w:szCs w:val="20"/>
          <w:u w:val="none"/>
        </w:rPr>
      </w:pPr>
      <w:r w:rsidDel="00000000" w:rsidR="00000000" w:rsidRPr="00000000">
        <w:rPr>
          <w:rFonts w:ascii="Montserrat" w:cs="Montserrat" w:eastAsia="Montserrat" w:hAnsi="Montserrat"/>
          <w:sz w:val="20"/>
          <w:szCs w:val="20"/>
          <w:rtl w:val="0"/>
        </w:rPr>
        <w:t xml:space="preserve">Regulatory / Government Affairs (11%)</w:t>
      </w:r>
    </w:p>
    <w:p w:rsidR="00000000" w:rsidDel="00000000" w:rsidP="00000000" w:rsidRDefault="00000000" w:rsidRPr="00000000" w14:paraId="00000044">
      <w:pPr>
        <w:numPr>
          <w:ilvl w:val="0"/>
          <w:numId w:val="3"/>
        </w:numPr>
        <w:ind w:left="720" w:hanging="360"/>
        <w:rPr>
          <w:rFonts w:ascii="Montserrat" w:cs="Montserrat" w:eastAsia="Montserrat" w:hAnsi="Montserrat"/>
          <w:sz w:val="20"/>
          <w:szCs w:val="20"/>
          <w:u w:val="none"/>
        </w:rPr>
      </w:pPr>
      <w:r w:rsidDel="00000000" w:rsidR="00000000" w:rsidRPr="00000000">
        <w:rPr>
          <w:rFonts w:ascii="Montserrat" w:cs="Montserrat" w:eastAsia="Montserrat" w:hAnsi="Montserrat"/>
          <w:sz w:val="20"/>
          <w:szCs w:val="20"/>
          <w:rtl w:val="0"/>
        </w:rPr>
        <w:t xml:space="preserve">Sales and Marketing (5%)</w:t>
      </w:r>
    </w:p>
    <w:p w:rsidR="00000000" w:rsidDel="00000000" w:rsidP="00000000" w:rsidRDefault="00000000" w:rsidRPr="00000000" w14:paraId="00000045">
      <w:pPr>
        <w:numPr>
          <w:ilvl w:val="0"/>
          <w:numId w:val="3"/>
        </w:numPr>
        <w:ind w:left="720" w:hanging="360"/>
        <w:rPr>
          <w:rFonts w:ascii="Montserrat" w:cs="Montserrat" w:eastAsia="Montserrat" w:hAnsi="Montserrat"/>
          <w:sz w:val="20"/>
          <w:szCs w:val="20"/>
          <w:u w:val="none"/>
        </w:rPr>
      </w:pPr>
      <w:r w:rsidDel="00000000" w:rsidR="00000000" w:rsidRPr="00000000">
        <w:rPr>
          <w:rFonts w:ascii="Montserrat" w:cs="Montserrat" w:eastAsia="Montserrat" w:hAnsi="Montserrat"/>
          <w:sz w:val="20"/>
          <w:szCs w:val="20"/>
          <w:rtl w:val="0"/>
        </w:rPr>
        <w:t xml:space="preserve">Other (5%)</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5040" w:hanging="360"/>
      </w:pPr>
      <w:rPr>
        <w:u w:val="none"/>
      </w:rPr>
    </w:lvl>
    <w:lvl w:ilvl="1">
      <w:start w:val="1"/>
      <w:numFmt w:val="bullet"/>
      <w:lvlText w:val="-"/>
      <w:lvlJc w:val="left"/>
      <w:pPr>
        <w:ind w:left="5760" w:hanging="360"/>
      </w:pPr>
      <w:rPr>
        <w:u w:val="none"/>
      </w:rPr>
    </w:lvl>
    <w:lvl w:ilvl="2">
      <w:start w:val="1"/>
      <w:numFmt w:val="bullet"/>
      <w:lvlText w:val="-"/>
      <w:lvlJc w:val="left"/>
      <w:pPr>
        <w:ind w:left="6480" w:hanging="360"/>
      </w:pPr>
      <w:rPr>
        <w:u w:val="none"/>
      </w:rPr>
    </w:lvl>
    <w:lvl w:ilvl="3">
      <w:start w:val="1"/>
      <w:numFmt w:val="bullet"/>
      <w:lvlText w:val="-"/>
      <w:lvlJc w:val="left"/>
      <w:pPr>
        <w:ind w:left="7200" w:hanging="360"/>
      </w:pPr>
      <w:rPr>
        <w:u w:val="none"/>
      </w:rPr>
    </w:lvl>
    <w:lvl w:ilvl="4">
      <w:start w:val="1"/>
      <w:numFmt w:val="bullet"/>
      <w:lvlText w:val="-"/>
      <w:lvlJc w:val="left"/>
      <w:pPr>
        <w:ind w:left="7920" w:hanging="360"/>
      </w:pPr>
      <w:rPr>
        <w:u w:val="none"/>
      </w:rPr>
    </w:lvl>
    <w:lvl w:ilvl="5">
      <w:start w:val="1"/>
      <w:numFmt w:val="bullet"/>
      <w:lvlText w:val="-"/>
      <w:lvlJc w:val="left"/>
      <w:pPr>
        <w:ind w:left="8640" w:hanging="360"/>
      </w:pPr>
      <w:rPr>
        <w:u w:val="none"/>
      </w:rPr>
    </w:lvl>
    <w:lvl w:ilvl="6">
      <w:start w:val="1"/>
      <w:numFmt w:val="bullet"/>
      <w:lvlText w:val="-"/>
      <w:lvlJc w:val="left"/>
      <w:pPr>
        <w:ind w:left="9360" w:hanging="360"/>
      </w:pPr>
      <w:rPr>
        <w:u w:val="none"/>
      </w:rPr>
    </w:lvl>
    <w:lvl w:ilvl="7">
      <w:start w:val="1"/>
      <w:numFmt w:val="bullet"/>
      <w:lvlText w:val="-"/>
      <w:lvlJc w:val="left"/>
      <w:pPr>
        <w:ind w:left="10080" w:hanging="360"/>
      </w:pPr>
      <w:rPr>
        <w:u w:val="none"/>
      </w:rPr>
    </w:lvl>
    <w:lvl w:ilvl="8">
      <w:start w:val="1"/>
      <w:numFmt w:val="bullet"/>
      <w:lvlText w:val="-"/>
      <w:lvlJc w:val="left"/>
      <w:pPr>
        <w:ind w:left="108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